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1:2019年待结题清单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CN"/>
        </w:rPr>
        <w:t>根据省社科规划办通知要求，科技处梳理出本年度需结题清单如下：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2019年9月30日前需结题人员：</w:t>
      </w:r>
    </w:p>
    <w:tbl>
      <w:tblPr>
        <w:tblStyle w:val="2"/>
        <w:tblW w:w="11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35"/>
        <w:gridCol w:w="660"/>
        <w:gridCol w:w="1695"/>
        <w:gridCol w:w="3675"/>
        <w:gridCol w:w="2010"/>
        <w:gridCol w:w="1440"/>
        <w:gridCol w:w="5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6969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立项时间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社科类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2010YBB095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资源枯竭型城市经济转型的机制研究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湖南省社科规划办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社科类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邓小龙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12YBA098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农业生态链视角下现代高值农业经济发发展模式及量化模式研究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湖南省社科规划办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社科类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2010YBB094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我国公立高校图书馆权力冲突与协调研究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湖南省社科规划办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社科类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13WLH21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英语素养与中国文化话语权：全球化视野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湖南省社科规划办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外语联合项目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请以上老师于2019年9月10日将结题材料（一式三份 含佐证材料）交至科技处818 刘亚梅处 电子版发科技处邮箱：78231943@qq.com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2019年12月21日前需结题人员：</w:t>
      </w:r>
    </w:p>
    <w:tbl>
      <w:tblPr>
        <w:tblStyle w:val="2"/>
        <w:tblW w:w="11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35"/>
        <w:gridCol w:w="660"/>
        <w:gridCol w:w="1695"/>
        <w:gridCol w:w="3675"/>
        <w:gridCol w:w="2010"/>
        <w:gridCol w:w="1440"/>
        <w:gridCol w:w="5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项目分类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立项时间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马列学院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社科类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14YBA126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三线建设与湘西城市发展研究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湖南省社科规划办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马列学院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社科类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14YBA128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灌输与接受：立德树人背景下高校思政课教学模式改革研究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湖南省社科规划办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请以上老师于2019年12月10日将结题材料（一式三份 含佐证材料）交至科技处818 刘亚梅处 电子版发科技处邮箱：78231943@qq.com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9584F"/>
    <w:rsid w:val="36D23668"/>
    <w:rsid w:val="58644CC4"/>
    <w:rsid w:val="686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2019-05-29T08:56:00Z</dcterms:created>
  <dc:creator>Administrator</dc:creator>
  <cp:lastModifiedBy>Administrator</cp:lastModifiedBy>
  <dcterms:modified xsi:type="dcterms:W3CDTF">2019-05-29T09:13:04Z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